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eastAsiaTheme="minorHAnsi"/>
          <w:sz w:val="22"/>
          <w:szCs w:val="20"/>
          <w:lang w:val="uk-UA" w:eastAsia="en-US"/>
        </w:rPr>
      </w:pPr>
      <w:bookmarkStart w:id="0" w:name="_GoBack"/>
      <w:bookmarkEnd w:id="0"/>
      <w:r>
        <w:rPr>
          <w:rFonts w:ascii="Times New Roman" w:hAnsi="Times New Roman" w:eastAsiaTheme="minorHAnsi"/>
          <w:sz w:val="19"/>
          <w:szCs w:val="20"/>
          <w:lang w:val="uk-UA" w:eastAsia="uk-UA"/>
        </w:rPr>
        <w:drawing>
          <wp:inline distT="0" distB="0" distL="0" distR="0">
            <wp:extent cx="542925" cy="7524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eastAsiaTheme="minorHAnsi"/>
          <w:sz w:val="22"/>
          <w:szCs w:val="20"/>
          <w:lang w:val="uk-UA" w:eastAsia="en-US"/>
        </w:rPr>
      </w:pPr>
      <w:r>
        <w:rPr>
          <w:rFonts w:ascii="Times New Roman" w:hAnsi="Times New Roman" w:eastAsiaTheme="minorHAnsi"/>
          <w:sz w:val="22"/>
          <w:szCs w:val="20"/>
          <w:lang w:val="uk-UA" w:eastAsia="en-US"/>
        </w:rPr>
        <w:t>Прокуратура України</w:t>
      </w:r>
    </w:p>
    <w:p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eastAsiaTheme="minorHAnsi"/>
          <w:sz w:val="36"/>
          <w:szCs w:val="20"/>
          <w:lang w:val="uk-UA" w:eastAsia="en-US"/>
        </w:rPr>
      </w:pPr>
      <w:r>
        <w:rPr>
          <w:rFonts w:ascii="Times New Roman" w:hAnsi="Times New Roman" w:eastAsiaTheme="minorHAnsi"/>
          <w:sz w:val="36"/>
          <w:szCs w:val="20"/>
          <w:lang w:val="uk-UA" w:eastAsia="en-US"/>
        </w:rPr>
        <w:t>ГЕНЕРАЛЬНА ПРОКУРАТУРА УКРАЇНИ</w:t>
      </w:r>
    </w:p>
    <w:p>
      <w:pPr>
        <w:tabs>
          <w:tab w:val="center" w:pos="4153"/>
        </w:tabs>
        <w:overflowPunct w:val="0"/>
        <w:autoSpaceDE w:val="0"/>
        <w:autoSpaceDN w:val="0"/>
        <w:adjustRightInd w:val="0"/>
        <w:ind w:firstLine="426"/>
        <w:jc w:val="left"/>
        <w:textAlignment w:val="baseline"/>
        <w:rPr>
          <w:rFonts w:ascii="Times New Roman" w:hAnsi="Times New Roman" w:eastAsiaTheme="minorHAnsi"/>
          <w:sz w:val="20"/>
          <w:szCs w:val="20"/>
          <w:lang w:val="uk-UA" w:eastAsia="en-US"/>
        </w:rPr>
      </w:pPr>
      <w:r>
        <w:rPr>
          <w:rFonts w:ascii="Times New Roman" w:hAnsi="Times New Roman" w:eastAsiaTheme="minorHAnsi"/>
          <w:sz w:val="20"/>
          <w:szCs w:val="20"/>
          <w:lang w:val="uk-UA" w:eastAsia="en-US"/>
        </w:rPr>
        <w:t>вул. Різницька, 13/15, Київ-11, 01011</w:t>
      </w:r>
      <w:r>
        <w:rPr>
          <w:rFonts w:ascii="Times New Roman" w:hAnsi="Times New Roman" w:eastAsiaTheme="minorHAnsi"/>
          <w:sz w:val="20"/>
          <w:szCs w:val="20"/>
          <w:lang w:val="uk-UA" w:eastAsia="en-US"/>
        </w:rPr>
        <w:tab/>
      </w:r>
      <w:r>
        <w:rPr>
          <w:rFonts w:ascii="Times New Roman" w:hAnsi="Times New Roman" w:eastAsiaTheme="minorHAnsi"/>
          <w:sz w:val="20"/>
          <w:szCs w:val="20"/>
          <w:lang w:val="uk-UA" w:eastAsia="en-US"/>
        </w:rPr>
        <w:t xml:space="preserve">                              </w:t>
      </w:r>
      <w:r>
        <w:rPr>
          <w:rFonts w:ascii="Times New Roman" w:hAnsi="Times New Roman" w:eastAsiaTheme="minorHAnsi"/>
          <w:sz w:val="20"/>
          <w:szCs w:val="20"/>
          <w:lang w:val="uk-UA" w:eastAsia="en-US"/>
        </w:rPr>
        <w:tab/>
      </w:r>
      <w:r>
        <w:rPr>
          <w:rFonts w:ascii="Times New Roman" w:hAnsi="Times New Roman" w:eastAsiaTheme="minorHAnsi"/>
          <w:sz w:val="20"/>
          <w:szCs w:val="20"/>
          <w:lang w:val="uk-UA" w:eastAsia="en-US"/>
        </w:rPr>
        <w:tab/>
      </w:r>
      <w:r>
        <w:rPr>
          <w:rFonts w:ascii="Times New Roman" w:hAnsi="Times New Roman" w:eastAsiaTheme="minorHAnsi"/>
          <w:sz w:val="20"/>
          <w:szCs w:val="20"/>
          <w:lang w:val="uk-UA" w:eastAsia="en-US"/>
        </w:rPr>
        <w:tab/>
      </w:r>
      <w:r>
        <w:rPr>
          <w:rFonts w:ascii="Times New Roman" w:hAnsi="Times New Roman" w:eastAsiaTheme="minorHAnsi"/>
          <w:sz w:val="20"/>
          <w:szCs w:val="20"/>
          <w:lang w:val="uk-UA" w:eastAsia="en-US"/>
        </w:rPr>
        <w:tab/>
      </w:r>
      <w:r>
        <w:rPr>
          <w:rFonts w:ascii="Times New Roman" w:hAnsi="Times New Roman" w:eastAsiaTheme="minorHAnsi"/>
          <w:sz w:val="20"/>
          <w:szCs w:val="20"/>
          <w:lang w:val="uk-UA" w:eastAsia="en-US"/>
        </w:rPr>
        <w:t>факс: 280-26-03</w:t>
      </w:r>
    </w:p>
    <w:p>
      <w:pPr>
        <w:pBdr>
          <w:top w:val="single" w:color="auto" w:sz="6" w:space="1"/>
        </w:pBdr>
        <w:jc w:val="left"/>
        <w:rPr>
          <w:rFonts w:ascii="Times New Roman" w:hAnsi="Times New Roman" w:eastAsiaTheme="minorHAnsi"/>
          <w:sz w:val="20"/>
          <w:szCs w:val="20"/>
          <w:u w:val="single"/>
          <w:lang w:val="uk-UA" w:eastAsia="en-US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зв`язків із громадськістю</w:t>
      </w:r>
    </w:p>
    <w:p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засобами масової інформації</w:t>
      </w:r>
    </w:p>
    <w:p>
      <w:pPr>
        <w:jc w:val="center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 xml:space="preserve">Тел.: (044) 596-73-55, </w:t>
      </w:r>
      <w:r>
        <w:fldChar w:fldCharType="begin"/>
      </w:r>
      <w:r>
        <w:instrText xml:space="preserve"> HYPERLINK "http://www.gp.gov.ua" </w:instrText>
      </w:r>
      <w:r>
        <w:fldChar w:fldCharType="separate"/>
      </w:r>
      <w:r>
        <w:rPr>
          <w:rFonts w:ascii="Times New Roman" w:hAnsi="Times New Roman"/>
          <w:b/>
          <w:color w:val="0000FF"/>
          <w:sz w:val="22"/>
          <w:szCs w:val="22"/>
          <w:u w:val="single"/>
          <w:lang w:val="uk-UA"/>
        </w:rPr>
        <w:t>www.gp.gov.ua</w:t>
      </w:r>
      <w:r>
        <w:rPr>
          <w:rFonts w:ascii="Times New Roman" w:hAnsi="Times New Roman"/>
          <w:b/>
          <w:color w:val="0000FF"/>
          <w:sz w:val="22"/>
          <w:szCs w:val="22"/>
          <w:u w:val="single"/>
          <w:lang w:val="uk-UA"/>
        </w:rPr>
        <w:fldChar w:fldCharType="end"/>
      </w:r>
      <w:r>
        <w:rPr>
          <w:rFonts w:ascii="Times New Roman" w:hAnsi="Times New Roman"/>
          <w:b/>
          <w:sz w:val="22"/>
          <w:szCs w:val="22"/>
          <w:lang w:val="uk-UA"/>
        </w:rPr>
        <w:t xml:space="preserve">, E-mail: press-service@gp.gov.ua, </w:t>
      </w:r>
      <w:r>
        <w:fldChar w:fldCharType="begin"/>
      </w:r>
      <w:r>
        <w:instrText xml:space="preserve"> HYPERLINK "mailto:press.zapyty@gp.gov.ua" </w:instrText>
      </w:r>
      <w:r>
        <w:fldChar w:fldCharType="separate"/>
      </w:r>
      <w:r>
        <w:rPr>
          <w:rFonts w:ascii="Times New Roman" w:hAnsi="Times New Roman"/>
          <w:b/>
          <w:color w:val="0000FF"/>
          <w:sz w:val="22"/>
          <w:szCs w:val="22"/>
          <w:u w:val="single"/>
          <w:lang w:val="uk-UA"/>
        </w:rPr>
        <w:t>press.zapyty@gp.gov.ua</w:t>
      </w:r>
      <w:r>
        <w:rPr>
          <w:rFonts w:ascii="Times New Roman" w:hAnsi="Times New Roman"/>
          <w:b/>
          <w:color w:val="0000FF"/>
          <w:sz w:val="22"/>
          <w:szCs w:val="22"/>
          <w:u w:val="single"/>
          <w:lang w:val="uk-UA"/>
        </w:rPr>
        <w:fldChar w:fldCharType="end"/>
      </w:r>
    </w:p>
    <w:p>
      <w:pPr>
        <w:rPr>
          <w:lang w:val="uk-UA"/>
        </w:rPr>
      </w:pPr>
    </w:p>
    <w:p>
      <w:pPr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ind w:left="552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Головному редактору</w:t>
      </w:r>
    </w:p>
    <w:p>
      <w:pPr>
        <w:ind w:left="552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«Української правди»</w:t>
      </w:r>
    </w:p>
    <w:p>
      <w:pPr>
        <w:ind w:left="552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Севгіль Мусаєвій</w:t>
      </w:r>
    </w:p>
    <w:p>
      <w:pPr>
        <w:ind w:left="5529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p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Ваш запит від 01.04.2019 №0104/2019 щодо питання зміни підслідності в одному з кримінальних проваджень розглянуто.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Повідомляємо наступне: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Відповідно до КПК України  передача кримінального провадження для розслідування іншому органу здійснюється в межах різних правових механізмів, зокрема через: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1) «доручення здійснення досудового розслідування кримінального правопорушення іншому органу досудового  у разі  неефективного досудового розслідування» - на підставі та в порядку, передбачених ч. 5 ст. 36 КПК України; 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2)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«доручення проведення досудового розслідування» - на підставі та у порядку, передбачених   ч. 7 ст. 214 КПК України;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3)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«визначення підслідності кримінального правопорушення» -                      на підставі та у порядку, передбачених  ч. 2 ст. 218 КПК України;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4)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«визначення підслідності кримінального правопорушення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у порядку вирішення спору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» -  на підставі та з дотриманням вимог, визначених  ч. 5 ст. 218 КПК України.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Для кожного з наведених вище механізмів передачі проваджень існують різні умови для їх застосування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визначено коло осіб,  уповноважених на  прийняття таких рішень, та зроблені застереження до застосування.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Механізм передачі кримінальних проваджень, передбачений ч. 5 ст. 36 КПК України (доручення іншому органу у зв’язку із неефективністю) заборонено застосовувати  до проваджень про правопорушення, підслідні НАБУ.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Для застосування механізму передачі провадження, передбаченого ч. 5    ст. 218 КПК України (у порядку вирішення спору про підслідність) встановлено вимогу щодо виключного суб’єкта ухвалення рішення.</w:t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 xml:space="preserve">Рішення, про яке йдеться у запиті, відбувалося у порядку застосування механізму, передбаченого ч. 5 ст. 218 КПК України. Відтак, посилання у ньому на застереження ч. 5 ст. 36 КПК України є не коректними.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2.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Підслідність НАБУ визначена ч. 5 ст. 216 КПК України.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встановленим  вказаною статтею правилом, детективи НАБУ вправі здійснювати досудове розслідування злочинів, передбачених ст. ст. 191,       206-2, 209, 210, 211, 354 (стосовно працівників юридичних осіб публічного права), 364, 366-1, 368, 368-2, 369, 369-2, 410 КК України,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 xml:space="preserve">якщо наявна хоча б одна з передбачених цією частиною умов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(злочин, вчинено особою з вичерпного  переліку посадових осіб;   розмір предмета злочину або завданої ним шкоди перевищує визначений бар’єр).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За відсутності вказаних умов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зазначені злочини, залежно від суб’єкта їх вчинення, підслідні слідчим інших органів досудового розслідування, у тому числі й Національної поліції.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3.   Щодо зазначеного у Вашому запиті кримінального провадження, то на момент прийняття у порядку вирішення спору рішення про визначення підслідності кримінальних правопорушень за слідчими ГСУ Національної поліції,  зазначених у ч. 5 ст. 216 КПК України умов встановлено не було.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4.   Відповідно до п. 14 ч. 1 ст. 3 КПК України притягнення особи до кримінальної відповідальності  починається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з моменту повідомлення особі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про підозру у вчиненні кримінального правопорушення.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«Готування пред’явити підозри», про що зазначено у Вашому запиті, не є  в розумінні КПК України стадією, яка свідчить про  те, що особи, які вчинили злочин, достеменно відомі та їм повідомлено про підозру.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5.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Інформація, викладена у Вашому запиті про те, що «достеменно відомо, що встановлений збиток уже 1,2 мільярда» залишається не підтвердженою. Виходячи із запиту, 1,2 млрд – є сумою «виділення Національним банком стабілізаційного кредиту для фінансового оздоровлення», що, вочевидь, не може вважатися сумою збитку за умови повернення кредиту. 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  </w:t>
      </w:r>
    </w:p>
    <w:p>
      <w:pPr>
        <w:ind w:firstLine="708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>
      <w:pPr>
        <w:tabs>
          <w:tab w:val="left" w:pos="5693"/>
          <w:tab w:val="left" w:pos="7478"/>
        </w:tabs>
        <w:ind w:firstLine="760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</w:p>
    <w:p>
      <w:pPr>
        <w:tabs>
          <w:tab w:val="left" w:pos="5693"/>
          <w:tab w:val="left" w:pos="7478"/>
        </w:tabs>
        <w:ind w:firstLine="760"/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uk-UA" w:bidi="uk-UA"/>
        </w:rPr>
      </w:pPr>
    </w:p>
    <w:p>
      <w:pPr>
        <w:widowControl w:val="0"/>
        <w:spacing w:line="322" w:lineRule="exac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Відділ зв’язків із громадськістю та ЗМІ</w:t>
      </w:r>
    </w:p>
    <w:p>
      <w:pPr>
        <w:jc w:val="lef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Генеральної прокуратури України</w:t>
      </w:r>
    </w:p>
    <w:p>
      <w:pPr>
        <w:spacing w:after="120"/>
        <w:ind w:right="-1" w:firstLine="709"/>
        <w:rPr>
          <w:rFonts w:ascii="Times New Roman" w:hAnsi="Times New Roman"/>
          <w:sz w:val="28"/>
          <w:szCs w:val="28"/>
          <w:lang w:val="uk-UA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CC"/>
    <w:family w:val="roman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46"/>
    <w:rsid w:val="000101C3"/>
    <w:rsid w:val="00025CCF"/>
    <w:rsid w:val="00031A68"/>
    <w:rsid w:val="00031F25"/>
    <w:rsid w:val="00042D85"/>
    <w:rsid w:val="000452E8"/>
    <w:rsid w:val="0006186A"/>
    <w:rsid w:val="00065602"/>
    <w:rsid w:val="00077C27"/>
    <w:rsid w:val="00090B2B"/>
    <w:rsid w:val="000D3CD0"/>
    <w:rsid w:val="000D4CB3"/>
    <w:rsid w:val="000D511F"/>
    <w:rsid w:val="000E024A"/>
    <w:rsid w:val="0010417D"/>
    <w:rsid w:val="00104233"/>
    <w:rsid w:val="00122407"/>
    <w:rsid w:val="00132AEA"/>
    <w:rsid w:val="00136690"/>
    <w:rsid w:val="001407F5"/>
    <w:rsid w:val="00185916"/>
    <w:rsid w:val="001A1D34"/>
    <w:rsid w:val="001A4A56"/>
    <w:rsid w:val="001A740A"/>
    <w:rsid w:val="001D03CA"/>
    <w:rsid w:val="00207812"/>
    <w:rsid w:val="0021684E"/>
    <w:rsid w:val="00242FA1"/>
    <w:rsid w:val="00262F86"/>
    <w:rsid w:val="002A7AC2"/>
    <w:rsid w:val="002B7667"/>
    <w:rsid w:val="002C42CD"/>
    <w:rsid w:val="002C5AF2"/>
    <w:rsid w:val="002F17C2"/>
    <w:rsid w:val="002F34FB"/>
    <w:rsid w:val="002F4266"/>
    <w:rsid w:val="00303D7A"/>
    <w:rsid w:val="003170DD"/>
    <w:rsid w:val="00333DAE"/>
    <w:rsid w:val="003C2D1F"/>
    <w:rsid w:val="003D0635"/>
    <w:rsid w:val="003E0D55"/>
    <w:rsid w:val="00401BBF"/>
    <w:rsid w:val="00422FD2"/>
    <w:rsid w:val="004275F5"/>
    <w:rsid w:val="00430C5E"/>
    <w:rsid w:val="00444FDF"/>
    <w:rsid w:val="00453E40"/>
    <w:rsid w:val="00460CF9"/>
    <w:rsid w:val="00462384"/>
    <w:rsid w:val="00466084"/>
    <w:rsid w:val="004672FA"/>
    <w:rsid w:val="00471C0C"/>
    <w:rsid w:val="004905DC"/>
    <w:rsid w:val="00490977"/>
    <w:rsid w:val="004A170F"/>
    <w:rsid w:val="004B4702"/>
    <w:rsid w:val="004C13FF"/>
    <w:rsid w:val="004E3EC6"/>
    <w:rsid w:val="004F5C04"/>
    <w:rsid w:val="004F652A"/>
    <w:rsid w:val="00501A82"/>
    <w:rsid w:val="005233CE"/>
    <w:rsid w:val="00525743"/>
    <w:rsid w:val="00533C25"/>
    <w:rsid w:val="00545A18"/>
    <w:rsid w:val="00550A50"/>
    <w:rsid w:val="00575760"/>
    <w:rsid w:val="005826E1"/>
    <w:rsid w:val="005905CE"/>
    <w:rsid w:val="005A73F8"/>
    <w:rsid w:val="005B017E"/>
    <w:rsid w:val="005C0375"/>
    <w:rsid w:val="005F353B"/>
    <w:rsid w:val="006112AB"/>
    <w:rsid w:val="00617BB3"/>
    <w:rsid w:val="00623051"/>
    <w:rsid w:val="00625772"/>
    <w:rsid w:val="00641A24"/>
    <w:rsid w:val="006423DD"/>
    <w:rsid w:val="006518E5"/>
    <w:rsid w:val="006605F3"/>
    <w:rsid w:val="00680CA9"/>
    <w:rsid w:val="0069678C"/>
    <w:rsid w:val="006D7F4E"/>
    <w:rsid w:val="00702341"/>
    <w:rsid w:val="00706705"/>
    <w:rsid w:val="007079A8"/>
    <w:rsid w:val="007104F2"/>
    <w:rsid w:val="007537EF"/>
    <w:rsid w:val="00795F92"/>
    <w:rsid w:val="007A29C6"/>
    <w:rsid w:val="007B00CD"/>
    <w:rsid w:val="007B089B"/>
    <w:rsid w:val="007B2831"/>
    <w:rsid w:val="007B3A02"/>
    <w:rsid w:val="007D7DBA"/>
    <w:rsid w:val="008057CB"/>
    <w:rsid w:val="0080640F"/>
    <w:rsid w:val="00857B6C"/>
    <w:rsid w:val="00884BB0"/>
    <w:rsid w:val="008959A9"/>
    <w:rsid w:val="008B16EB"/>
    <w:rsid w:val="008E7EB1"/>
    <w:rsid w:val="008F796C"/>
    <w:rsid w:val="009329FB"/>
    <w:rsid w:val="0094789B"/>
    <w:rsid w:val="0095569D"/>
    <w:rsid w:val="009715A5"/>
    <w:rsid w:val="009902FE"/>
    <w:rsid w:val="00990B9A"/>
    <w:rsid w:val="00991F7B"/>
    <w:rsid w:val="00995F30"/>
    <w:rsid w:val="009A0D89"/>
    <w:rsid w:val="009B44D4"/>
    <w:rsid w:val="009D5C91"/>
    <w:rsid w:val="009D634C"/>
    <w:rsid w:val="009E07C9"/>
    <w:rsid w:val="009E79ED"/>
    <w:rsid w:val="009F404D"/>
    <w:rsid w:val="00A03ADC"/>
    <w:rsid w:val="00A3094C"/>
    <w:rsid w:val="00A30CC7"/>
    <w:rsid w:val="00A41D88"/>
    <w:rsid w:val="00A53898"/>
    <w:rsid w:val="00A603EF"/>
    <w:rsid w:val="00A85328"/>
    <w:rsid w:val="00A95344"/>
    <w:rsid w:val="00A976FE"/>
    <w:rsid w:val="00AB1809"/>
    <w:rsid w:val="00B068AE"/>
    <w:rsid w:val="00B4184D"/>
    <w:rsid w:val="00B64271"/>
    <w:rsid w:val="00B901FE"/>
    <w:rsid w:val="00B95C2D"/>
    <w:rsid w:val="00BA7E40"/>
    <w:rsid w:val="00BB6FB6"/>
    <w:rsid w:val="00BC05BE"/>
    <w:rsid w:val="00BC2315"/>
    <w:rsid w:val="00BE28E1"/>
    <w:rsid w:val="00C033DC"/>
    <w:rsid w:val="00C12363"/>
    <w:rsid w:val="00C4031A"/>
    <w:rsid w:val="00C40BB9"/>
    <w:rsid w:val="00C67E17"/>
    <w:rsid w:val="00C8383B"/>
    <w:rsid w:val="00C8488D"/>
    <w:rsid w:val="00C85ED4"/>
    <w:rsid w:val="00C92A32"/>
    <w:rsid w:val="00CA537B"/>
    <w:rsid w:val="00D01491"/>
    <w:rsid w:val="00D11C00"/>
    <w:rsid w:val="00D138EF"/>
    <w:rsid w:val="00D21881"/>
    <w:rsid w:val="00D44B9D"/>
    <w:rsid w:val="00D65200"/>
    <w:rsid w:val="00D80C54"/>
    <w:rsid w:val="00D921CF"/>
    <w:rsid w:val="00DC0456"/>
    <w:rsid w:val="00DC1996"/>
    <w:rsid w:val="00DC59E9"/>
    <w:rsid w:val="00DD3913"/>
    <w:rsid w:val="00DD4BE5"/>
    <w:rsid w:val="00DE4BA6"/>
    <w:rsid w:val="00E213BA"/>
    <w:rsid w:val="00E3336C"/>
    <w:rsid w:val="00E37E3F"/>
    <w:rsid w:val="00E759BD"/>
    <w:rsid w:val="00E75C99"/>
    <w:rsid w:val="00E81153"/>
    <w:rsid w:val="00E81C4C"/>
    <w:rsid w:val="00EA0C4A"/>
    <w:rsid w:val="00EA5900"/>
    <w:rsid w:val="00ED6847"/>
    <w:rsid w:val="00EE74AF"/>
    <w:rsid w:val="00F05603"/>
    <w:rsid w:val="00F05A46"/>
    <w:rsid w:val="00F266AE"/>
    <w:rsid w:val="00F71964"/>
    <w:rsid w:val="00F754FE"/>
    <w:rsid w:val="00F7799D"/>
    <w:rsid w:val="00FA5018"/>
    <w:rsid w:val="4D041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Bookman Old Style" w:hAnsi="Bookman Old Style" w:eastAsia="Times New Roman" w:cs="Times New Roman"/>
      <w:sz w:val="26"/>
      <w:szCs w:val="24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6"/>
    <w:uiPriority w:val="0"/>
    <w:pPr>
      <w:tabs>
        <w:tab w:val="center" w:pos="4677"/>
        <w:tab w:val="right" w:pos="9355"/>
      </w:tabs>
    </w:pPr>
    <w:rPr>
      <w:szCs w:val="20"/>
      <w:lang w:val="uk-UA"/>
    </w:rPr>
  </w:style>
  <w:style w:type="character" w:customStyle="1" w:styleId="6">
    <w:name w:val="Верхний колонтитул Знак"/>
    <w:basedOn w:val="4"/>
    <w:link w:val="3"/>
    <w:uiPriority w:val="0"/>
    <w:rPr>
      <w:rFonts w:ascii="Bookman Old Style" w:hAnsi="Bookman Old Style" w:eastAsia="Times New Roman" w:cs="Times New Roman"/>
      <w:sz w:val="26"/>
      <w:szCs w:val="20"/>
      <w:lang w:eastAsia="ru-RU"/>
    </w:rPr>
  </w:style>
  <w:style w:type="paragraph" w:customStyle="1" w:styleId="7">
    <w:name w:val="Iaaeiaiea"/>
    <w:basedOn w:val="1"/>
    <w:uiPriority w:val="0"/>
    <w:pPr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rFonts w:ascii="Arial" w:hAnsi="Arial"/>
      <w:sz w:val="22"/>
      <w:szCs w:val="20"/>
      <w:lang w:val="uk-UA"/>
    </w:rPr>
  </w:style>
  <w:style w:type="character" w:customStyle="1" w:styleId="8">
    <w:name w:val="Текст выноски Знак"/>
    <w:basedOn w:val="4"/>
    <w:link w:val="2"/>
    <w:semiHidden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9">
    <w:name w:val="Основной текст_"/>
    <w:basedOn w:val="4"/>
    <w:link w:val="10"/>
    <w:locked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1"/>
    <w:link w:val="9"/>
    <w:uiPriority w:val="0"/>
    <w:pPr>
      <w:widowControl w:val="0"/>
      <w:shd w:val="clear" w:color="auto" w:fill="FFFFFF"/>
      <w:spacing w:before="420" w:line="322" w:lineRule="exact"/>
      <w:ind w:firstLine="700"/>
    </w:pPr>
    <w:rPr>
      <w:rFonts w:ascii="Times New Roman" w:hAnsi="Times New Roman"/>
      <w:szCs w:val="26"/>
      <w:lang w:val="uk-UA" w:eastAsia="en-US"/>
    </w:rPr>
  </w:style>
  <w:style w:type="character" w:customStyle="1" w:styleId="11">
    <w:name w:val="Основной текст (2)_"/>
    <w:basedOn w:val="4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12">
    <w:name w:val="Основной текст (2) + Полужирный"/>
    <w:basedOn w:val="1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Основной текст (2)"/>
    <w:basedOn w:val="1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2575</Words>
  <Characters>1468</Characters>
  <Lines>12</Lines>
  <Paragraphs>8</Paragraphs>
  <TotalTime>2</TotalTime>
  <ScaleCrop>false</ScaleCrop>
  <LinksUpToDate>false</LinksUpToDate>
  <CharactersWithSpaces>4035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2019-04-02T14:21:00Z</dcterms:created>
  <dc:creator>24test</dc:creator>
  <cp:lastModifiedBy>DmD</cp:lastModifiedBy>
  <cp:lastPrinted>2019-02-07T12:54:00Z</cp:lastPrinted>
  <dcterms:modified xsi:type="dcterms:W3CDTF">2019-04-03T05:17:41Z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